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rStyle w:val="a4"/>
          <w:b w:val="0"/>
          <w:color w:val="212529"/>
        </w:rPr>
        <w:t>Готовность к школе</w:t>
      </w:r>
      <w:r w:rsidRPr="00C167BE">
        <w:rPr>
          <w:color w:val="212529"/>
        </w:rPr>
        <w:t> – совокупность морфофизиологических и психологических особенностей ребенка старшего дошкольного возраста, обеспечивающая успешный переход к школьному обучению.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rStyle w:val="a4"/>
          <w:b w:val="0"/>
          <w:color w:val="212529"/>
        </w:rPr>
        <w:t>Подготовка к школе</w:t>
      </w:r>
      <w:r w:rsidRPr="00C167BE">
        <w:rPr>
          <w:color w:val="212529"/>
        </w:rPr>
        <w:t xml:space="preserve"> – организация образовательной работы ДОУ, которая обеспечивает определенный уровень общего развития дошкольников и специальную подготовку детей к усвоению учебных предметов, для выполнения социальной роли школьника и овладения новым видом </w:t>
      </w:r>
      <w:proofErr w:type="spellStart"/>
      <w:r w:rsidRPr="00C167BE">
        <w:rPr>
          <w:color w:val="212529"/>
        </w:rPr>
        <w:t>деятельност</w:t>
      </w:r>
      <w:proofErr w:type="spellEnd"/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rStyle w:val="a4"/>
          <w:b w:val="0"/>
          <w:color w:val="212529"/>
        </w:rPr>
        <w:t>Формы работы с детьми в ДОУ по подготовке к обучению в школе: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1.Сюжетно-ролевые игры, в частности, игра «В школу».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4.Рассматривание картины по школьной тематике.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5.Чтение и анализ детской художественной  литературы о школьной жизни, заучивание стихов.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6.Рисование на темы: «Моя школа», «Мои впечатления от экскурсии в школу».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7.Беседы, рассказы взрослых о своей учебе и любимых учителях.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8.Рассматривание школьных принадлежностей и загадывание загадок о них.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9.Словесные, дидактические, интерактивные игры на школьную тематику.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rStyle w:val="a4"/>
          <w:b w:val="0"/>
          <w:color w:val="212529"/>
        </w:rPr>
        <w:t>Уровень готовности ребенка  обучению в школе.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rStyle w:val="a4"/>
          <w:b w:val="0"/>
          <w:color w:val="212529"/>
        </w:rPr>
        <w:t>Критерии подготовленности ребенка к школе:</w:t>
      </w:r>
    </w:p>
    <w:p w:rsidR="00C167BE" w:rsidRPr="00C167BE" w:rsidRDefault="00C167BE" w:rsidP="00C167BE">
      <w:pPr>
        <w:pStyle w:val="a3"/>
        <w:shd w:val="clear" w:color="auto" w:fill="F4F4F4"/>
        <w:tabs>
          <w:tab w:val="left" w:pos="3360"/>
        </w:tabs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1) мотивация на учебу;</w:t>
      </w:r>
      <w:r w:rsidRPr="00C167BE">
        <w:rPr>
          <w:color w:val="212529"/>
        </w:rPr>
        <w:tab/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2) развитие произвольности;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3)</w:t>
      </w:r>
      <w:proofErr w:type="spellStart"/>
      <w:r w:rsidRPr="00C167BE">
        <w:rPr>
          <w:color w:val="212529"/>
        </w:rPr>
        <w:t>сформированность</w:t>
      </w:r>
      <w:proofErr w:type="spellEnd"/>
      <w:r w:rsidRPr="00C167BE">
        <w:rPr>
          <w:color w:val="212529"/>
        </w:rPr>
        <w:t xml:space="preserve"> наглядно-действенного и наглядно-образного мышления;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4) развитие пространственных представлений;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5) развитие познавательных процессов;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6) умение фантазировать;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7) проявление самостоятельности.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rStyle w:val="a4"/>
          <w:b w:val="0"/>
          <w:color w:val="212529"/>
        </w:rPr>
        <w:t>Воспитатель должен: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1.Ставить перед ребёнком такую цель, которую бы он не только понял, но и принял её, сделав своей. Тогда у ребёнка появится желание в её достижении.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2.Направлять, помогать ребёнку в достижении цели.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3.Приучать ребёнка не пасовать перед трудностями, а преодолевать их.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4.Воспитывать стремление к достижению результата своей деятельности в рисовании, играх-головоломках и т. п.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rStyle w:val="a4"/>
          <w:b w:val="0"/>
          <w:color w:val="212529"/>
        </w:rPr>
        <w:t>Школьная зрелость.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1) мотивационная готовность — положительное отношение к школе и желание учиться;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2) умственная или познавательная готовность — достаточный уровень развития мышления, памяти и др. познавательных процессов, наличие определенного запаса знаний и умений;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3) волевая готовность — достаточно высокий уровень развития произвольного поведения;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 xml:space="preserve">4) коммуникативная готовность — способность устанавливать отношения со сверстниками, готовность к совместной деятельности и отношение </w:t>
      </w:r>
      <w:proofErr w:type="gramStart"/>
      <w:r w:rsidRPr="00C167BE">
        <w:rPr>
          <w:color w:val="212529"/>
        </w:rPr>
        <w:t>ко</w:t>
      </w:r>
      <w:proofErr w:type="gramEnd"/>
      <w:r w:rsidRPr="00C167BE">
        <w:rPr>
          <w:color w:val="212529"/>
        </w:rPr>
        <w:t xml:space="preserve"> взрослому как к учителю».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rStyle w:val="a4"/>
          <w:b w:val="0"/>
          <w:color w:val="212529"/>
        </w:rPr>
        <w:lastRenderedPageBreak/>
        <w:t>Модель выпускника.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 xml:space="preserve">1. Физически </w:t>
      </w:r>
      <w:proofErr w:type="gramStart"/>
      <w:r w:rsidRPr="00C167BE">
        <w:rPr>
          <w:color w:val="212529"/>
        </w:rPr>
        <w:t>развитый</w:t>
      </w:r>
      <w:proofErr w:type="gramEnd"/>
      <w:r w:rsidRPr="00C167BE">
        <w:rPr>
          <w:color w:val="212529"/>
        </w:rPr>
        <w:t>, овладевший основными культурно-гигиеническими навыками. Ребенок достиг максимально возможного уровня гармоничного физического развития (с учетом индивидуальных данных). У него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 xml:space="preserve">2. 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C167BE">
        <w:rPr>
          <w:color w:val="212529"/>
        </w:rPr>
        <w:t>Способен</w:t>
      </w:r>
      <w:proofErr w:type="gramEnd"/>
      <w:r w:rsidRPr="00C167BE">
        <w:rPr>
          <w:color w:val="212529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3. 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  музыкальные и художественные произведения, мир природы.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 xml:space="preserve">4. Овладевший средствами общения и способами взаимодействия </w:t>
      </w:r>
      <w:proofErr w:type="gramStart"/>
      <w:r w:rsidRPr="00C167BE">
        <w:rPr>
          <w:color w:val="212529"/>
        </w:rPr>
        <w:t>со</w:t>
      </w:r>
      <w:proofErr w:type="gramEnd"/>
      <w:r w:rsidRPr="00C167BE">
        <w:rPr>
          <w:color w:val="212529"/>
        </w:rPr>
        <w:t xml:space="preserve"> взрослыми и сверстниками.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 xml:space="preserve">Ребенок адекватно использует вербальные 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C167BE">
        <w:rPr>
          <w:color w:val="212529"/>
        </w:rPr>
        <w:t>со</w:t>
      </w:r>
      <w:proofErr w:type="gramEnd"/>
      <w:r w:rsidRPr="00C167BE">
        <w:rPr>
          <w:color w:val="212529"/>
        </w:rPr>
        <w:t xml:space="preserve"> взрослым или сверстником, в зависимости от ситуации.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 xml:space="preserve">5. </w:t>
      </w:r>
      <w:proofErr w:type="gramStart"/>
      <w:r w:rsidRPr="00C167BE">
        <w:rPr>
          <w:color w:val="212529"/>
        </w:rPr>
        <w:t>Способный</w:t>
      </w:r>
      <w:proofErr w:type="gramEnd"/>
      <w:r w:rsidRPr="00C167BE">
        <w:rPr>
          <w:color w:val="212529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  о том «что такое хорошо и что такое плохо» (например, нельзя драться, нельзя обижать маленьких, нехорошо ябедничать, нужно делиться, нужно уважать взрослых и пр.).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 xml:space="preserve">6. </w:t>
      </w:r>
      <w:proofErr w:type="gramStart"/>
      <w:r w:rsidRPr="00C167BE">
        <w:rPr>
          <w:color w:val="212529"/>
        </w:rPr>
        <w:t>Способный</w:t>
      </w:r>
      <w:proofErr w:type="gramEnd"/>
      <w:r w:rsidRPr="00C167BE">
        <w:rPr>
          <w:color w:val="212529"/>
        </w:rPr>
        <w:t xml:space="preserve"> решать интеллектуальные и личностные задачи (проблемы), адекватные возрасту.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 xml:space="preserve">7. </w:t>
      </w:r>
      <w:proofErr w:type="gramStart"/>
      <w:r w:rsidRPr="00C167BE">
        <w:rPr>
          <w:color w:val="212529"/>
        </w:rPr>
        <w:t>Имеющий</w:t>
      </w:r>
      <w:proofErr w:type="gramEnd"/>
      <w:r w:rsidRPr="00C167BE">
        <w:rPr>
          <w:color w:val="212529"/>
        </w:rPr>
        <w:t xml:space="preserve"> первичные представления о себе, семье, обществе (ближайшем  социуме), государстве (стране), мире и природе.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Ребенок имеет представление: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- о себе, собственной принадлежности и принадлежности других людей к определенному полу;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- о составе семьи, родственных отношениях и взаимосвязях, распределении семейных обязанностей, семейных традициях;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- об обществе (ближайшем социуме), его культурных ценностях и своем месте в нем;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lastRenderedPageBreak/>
        <w:t>- о государстве (в том числе его символах, «малой» и «большой» Родине, ее природе) и принадлежности к нему;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- о мире (планете Земля,  многообразии стран и государств, населения, природы планеты).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 xml:space="preserve">8. </w:t>
      </w:r>
      <w:proofErr w:type="gramStart"/>
      <w:r w:rsidRPr="00C167BE">
        <w:rPr>
          <w:color w:val="212529"/>
        </w:rPr>
        <w:t>Овладевший</w:t>
      </w:r>
      <w:proofErr w:type="gramEnd"/>
      <w:r w:rsidRPr="00C167BE">
        <w:rPr>
          <w:color w:val="212529"/>
        </w:rPr>
        <w:t xml:space="preserve"> универсальными предпосылками учебной деятельности.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Т.е. умениями работать по правилу и по образцу, слушать взрослого и выполнять его инструкции.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 xml:space="preserve">9. </w:t>
      </w:r>
      <w:proofErr w:type="gramStart"/>
      <w:r w:rsidRPr="00C167BE">
        <w:rPr>
          <w:color w:val="212529"/>
        </w:rPr>
        <w:t>Овладевший</w:t>
      </w:r>
      <w:proofErr w:type="gramEnd"/>
      <w:r w:rsidRPr="00C167BE">
        <w:rPr>
          <w:color w:val="212529"/>
        </w:rPr>
        <w:t xml:space="preserve"> необходимыми умениями и навыками. У ребенка 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rStyle w:val="a4"/>
          <w:b w:val="0"/>
          <w:color w:val="212529"/>
        </w:rPr>
      </w:pP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rStyle w:val="a4"/>
          <w:b w:val="0"/>
          <w:color w:val="212529"/>
        </w:rPr>
        <w:t>В</w:t>
      </w:r>
      <w:r w:rsidRPr="00C167BE">
        <w:rPr>
          <w:color w:val="212529"/>
        </w:rPr>
        <w:t xml:space="preserve"> течение последних лет наблюдается повышенный интерес к проблеме перехода ребенка - дошкольника из детского сада в школу и тесно связанному с этим понятию готовности к школьному обучению в условиях ДОУ.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rStyle w:val="a4"/>
          <w:b w:val="0"/>
          <w:color w:val="212529"/>
        </w:rPr>
        <w:t>Задача нашего детского сада -</w:t>
      </w:r>
      <w:r w:rsidRPr="00C167BE">
        <w:rPr>
          <w:color w:val="212529"/>
        </w:rPr>
        <w:t> обеспечить каждому ребенку тот уровень развития, который позволяет ему быть успешным при обучении в школе.</w:t>
      </w:r>
    </w:p>
    <w:p w:rsidR="00C167BE" w:rsidRPr="00C167BE" w:rsidRDefault="00C167BE" w:rsidP="00C167BE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C167BE">
        <w:rPr>
          <w:color w:val="212529"/>
        </w:rPr>
        <w:t>Детский сад и школа. При взаимодействии этих двух учреждений может сложиться прекрасный союз, и ребенок будет чувствовать себя комфортно.</w:t>
      </w:r>
    </w:p>
    <w:p w:rsidR="00353CFF" w:rsidRPr="00C167BE" w:rsidRDefault="00353CFF" w:rsidP="00C167BE">
      <w:pPr>
        <w:jc w:val="both"/>
        <w:rPr>
          <w:rFonts w:ascii="Times New Roman" w:hAnsi="Times New Roman" w:cs="Times New Roman"/>
        </w:rPr>
      </w:pPr>
    </w:p>
    <w:sectPr w:rsidR="00353CFF" w:rsidRPr="00C1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7BE"/>
    <w:rsid w:val="00353CFF"/>
    <w:rsid w:val="00C1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67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завершинская</dc:creator>
  <cp:keywords/>
  <dc:description/>
  <cp:lastModifiedBy>завершинская</cp:lastModifiedBy>
  <cp:revision>3</cp:revision>
  <dcterms:created xsi:type="dcterms:W3CDTF">2023-06-19T04:45:00Z</dcterms:created>
  <dcterms:modified xsi:type="dcterms:W3CDTF">2023-06-19T04:54:00Z</dcterms:modified>
</cp:coreProperties>
</file>